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362E4EF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DF3FCF">
        <w:rPr>
          <w:rFonts w:cs="Arial"/>
          <w:bCs/>
          <w:color w:val="000000" w:themeColor="text1"/>
          <w:sz w:val="26"/>
          <w:szCs w:val="26"/>
        </w:rPr>
        <w:t>SO-290</w:t>
      </w:r>
      <w:r w:rsidR="00ED2193">
        <w:rPr>
          <w:rFonts w:cs="Arial"/>
          <w:bCs/>
          <w:color w:val="000000" w:themeColor="text1"/>
          <w:sz w:val="26"/>
          <w:szCs w:val="26"/>
        </w:rPr>
        <w:t xml:space="preserve"> | VIP: 1216</w:t>
      </w:r>
    </w:p>
    <w:p w14:paraId="0564B67A" w14:textId="74503D4B" w:rsidR="00A133B8" w:rsidRPr="00EC0D59" w:rsidRDefault="00A133B8" w:rsidP="00EC0D5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sidRPr="00EC0D59">
        <w:rPr>
          <w:rStyle w:val="Heading2Char"/>
          <w:color w:val="000000" w:themeColor="text1"/>
          <w:sz w:val="26"/>
          <w:szCs w:val="26"/>
        </w:rPr>
        <w:tab/>
      </w:r>
      <w:r w:rsidR="00EC0D59" w:rsidRPr="00EC0D59">
        <w:rPr>
          <w:rStyle w:val="Heading2Char"/>
          <w:color w:val="000000" w:themeColor="text1"/>
          <w:sz w:val="26"/>
          <w:szCs w:val="26"/>
        </w:rPr>
        <w:t xml:space="preserve">OPSEU- </w:t>
      </w:r>
      <w:r w:rsidR="00ED2193" w:rsidRPr="00EC0D59">
        <w:rPr>
          <w:rStyle w:val="Heading2Char"/>
          <w:color w:val="000000" w:themeColor="text1"/>
          <w:sz w:val="26"/>
          <w:szCs w:val="26"/>
        </w:rPr>
        <w:t>6</w:t>
      </w:r>
      <w:r w:rsidRPr="00EC0D59">
        <w:rPr>
          <w:rFonts w:cs="Arial"/>
          <w:color w:val="000000" w:themeColor="text1"/>
          <w:sz w:val="26"/>
          <w:szCs w:val="26"/>
        </w:rPr>
        <w:tab/>
      </w:r>
    </w:p>
    <w:p w14:paraId="03B91C93" w14:textId="309D4CA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F3FCF">
        <w:rPr>
          <w:rFonts w:cs="Arial"/>
          <w:bCs/>
          <w:color w:val="000000" w:themeColor="text1"/>
          <w:sz w:val="26"/>
          <w:szCs w:val="26"/>
        </w:rPr>
        <w:t>Forensic Science</w:t>
      </w:r>
      <w:r w:rsidRPr="00052B69">
        <w:rPr>
          <w:rFonts w:cs="Arial"/>
          <w:bCs/>
          <w:color w:val="000000" w:themeColor="text1"/>
          <w:sz w:val="26"/>
          <w:szCs w:val="26"/>
        </w:rPr>
        <w:tab/>
      </w:r>
      <w:r w:rsidRPr="00052B69">
        <w:rPr>
          <w:rFonts w:cs="Arial"/>
          <w:bCs/>
          <w:color w:val="000000" w:themeColor="text1"/>
          <w:sz w:val="26"/>
          <w:szCs w:val="26"/>
        </w:rPr>
        <w:tab/>
      </w:r>
    </w:p>
    <w:p w14:paraId="65D10A2A" w14:textId="6F9B856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D2193" w:rsidRPr="00ED2193">
        <w:rPr>
          <w:rStyle w:val="Heading2Char"/>
          <w:color w:val="000000" w:themeColor="text1"/>
          <w:sz w:val="26"/>
          <w:szCs w:val="26"/>
        </w:rPr>
        <w:t>Chair, Forensic Science</w:t>
      </w:r>
    </w:p>
    <w:p w14:paraId="6321F5BD" w14:textId="4892F88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D2193">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111719D6"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r w:rsidR="00EC0D59">
        <w:br/>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77777777"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needs </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77777777"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p>
    <w:p w14:paraId="543F95CD" w14:textId="77777777"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77777777" w:rsidR="0059138F" w:rsidRPr="00B37D5D" w:rsidRDefault="0059138F" w:rsidP="0059138F">
      <w:pPr>
        <w:pStyle w:val="ListParagraph"/>
        <w:numPr>
          <w:ilvl w:val="0"/>
          <w:numId w:val="14"/>
        </w:numPr>
      </w:pPr>
      <w:r>
        <w:t>Requests accounts (email, Blackboard, phones, office keys, and photocopier) for new faculty/instructors, and staff</w:t>
      </w:r>
    </w:p>
    <w:p w14:paraId="0FA8BDD4" w14:textId="57844367"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191ACB90" w:rsidR="00CF459C" w:rsidRDefault="00CF459C" w:rsidP="0059138F">
      <w:pPr>
        <w:pStyle w:val="ListParagraph"/>
        <w:numPr>
          <w:ilvl w:val="0"/>
          <w:numId w:val="14"/>
        </w:numPr>
      </w:pPr>
      <w:r>
        <w:t>Monitors and updates the Departmental website as necessary</w:t>
      </w:r>
    </w:p>
    <w:p w14:paraId="34000B36" w14:textId="517E11B9" w:rsidR="00BA3EE7" w:rsidRDefault="00BA3EE7" w:rsidP="00BA3EE7">
      <w:pPr>
        <w:pStyle w:val="ListParagraph"/>
        <w:numPr>
          <w:ilvl w:val="0"/>
          <w:numId w:val="14"/>
        </w:numPr>
      </w:pPr>
      <w:r>
        <w:t>Creates and manages social media accounts for department</w:t>
      </w:r>
    </w:p>
    <w:p w14:paraId="636E8BB1" w14:textId="739F1C07" w:rsidR="005E4957" w:rsidRDefault="005E4957" w:rsidP="0059138F">
      <w:pPr>
        <w:pStyle w:val="ListParagraph"/>
        <w:numPr>
          <w:ilvl w:val="0"/>
          <w:numId w:val="14"/>
        </w:numPr>
      </w:pPr>
      <w:r>
        <w:t xml:space="preserve">Attend the Academic Administrative Assistant Meetings </w:t>
      </w:r>
      <w:r w:rsidR="00266A98">
        <w:t>and other training as applicable to job</w:t>
      </w:r>
    </w:p>
    <w:p w14:paraId="510599E6" w14:textId="60488A23" w:rsidR="0059138F" w:rsidRDefault="00B54586" w:rsidP="0059138F">
      <w:pPr>
        <w:pStyle w:val="ListParagraph"/>
        <w:numPr>
          <w:ilvl w:val="0"/>
          <w:numId w:val="14"/>
        </w:numPr>
      </w:pPr>
      <w:r>
        <w:t xml:space="preserve">Assist with </w:t>
      </w:r>
      <w:r w:rsidR="0059138F" w:rsidRPr="00B45741">
        <w:t>Convocation</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2921190C" w:rsidR="00AD69D5" w:rsidRDefault="00AD69D5" w:rsidP="00AD69D5">
      <w:pPr>
        <w:pStyle w:val="Heading5"/>
      </w:pPr>
      <w:r>
        <w:t xml:space="preserve">Timetabling, Enrolment Management, </w:t>
      </w:r>
      <w:r w:rsidR="00EC0D59">
        <w:t>&amp;</w:t>
      </w:r>
      <w:r>
        <w:t xml:space="preserve">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77777777"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 throughout the academic year in regards to scheduling, enrolment monitoring, and trouble-shooting any scheduling issues.</w:t>
      </w:r>
    </w:p>
    <w:p w14:paraId="005DF688" w14:textId="21042DE4"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77777777"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p>
    <w:p w14:paraId="7E39DB66" w14:textId="5FF6B343"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
    <w:p w14:paraId="16480C26" w14:textId="05047297"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7777777"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GTA hirings and confirming graduate student status when hiring markers/graders and academic assistants</w:t>
      </w:r>
    </w:p>
    <w:p w14:paraId="16ACCCA5" w14:textId="77777777" w:rsidR="00BA3EE7" w:rsidRPr="00BA3EE7" w:rsidRDefault="00BA3EE7" w:rsidP="00BA3EE7">
      <w:pPr>
        <w:rPr>
          <w:rFonts w:cstheme="minorHAnsi"/>
        </w:rPr>
      </w:pPr>
    </w:p>
    <w:p w14:paraId="7929DF1A" w14:textId="459B6DC4" w:rsidR="002865BE" w:rsidRDefault="00653CD3" w:rsidP="00653CD3">
      <w:pPr>
        <w:pStyle w:val="Heading5"/>
      </w:pPr>
      <w:r>
        <w:t>Events</w:t>
      </w:r>
    </w:p>
    <w:p w14:paraId="32A352DD" w14:textId="77777777" w:rsidR="00A72100" w:rsidRDefault="00A72100" w:rsidP="00A72100">
      <w:pPr>
        <w:pStyle w:val="ListParagraph"/>
        <w:numPr>
          <w:ilvl w:val="0"/>
          <w:numId w:val="21"/>
        </w:numPr>
      </w:pPr>
      <w:r w:rsidRPr="00B37D5D">
        <w:t xml:space="preserve">Assists with planning, and coordination of </w:t>
      </w:r>
      <w:r>
        <w:t>lecture</w:t>
      </w:r>
      <w:r w:rsidRPr="00B37D5D">
        <w:t xml:space="preserve"> Series</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lastRenderedPageBreak/>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22CF83D" w:rsidR="0095356F" w:rsidRDefault="0095356F" w:rsidP="00EC0D59">
      <w:pPr>
        <w:pStyle w:val="Heading5"/>
      </w:pPr>
      <w:r>
        <w:t>Special Tasks/Other Duties</w:t>
      </w:r>
    </w:p>
    <w:p w14:paraId="411315D6" w14:textId="4D0F27BB" w:rsidR="0095356F" w:rsidRPr="00B37D5D" w:rsidRDefault="00DF3FCF" w:rsidP="00EC0D59">
      <w:pPr>
        <w:pStyle w:val="ListParagraph"/>
        <w:numPr>
          <w:ilvl w:val="0"/>
          <w:numId w:val="23"/>
        </w:numPr>
      </w:pPr>
      <w:r w:rsidRPr="00EC0D59">
        <w:t xml:space="preserve">With final approval from the Chair, acts as the Timetable Representative for the Department, liaises with faculty, staff, Registrar’s Office and other programs (e.g., Biology, Chemistry, TSE, Physics, Math) to develop classroom and laboratory timetables in Peterborough throughout the year, and proactively manages lab section </w:t>
      </w:r>
      <w:proofErr w:type="gramStart"/>
      <w:r w:rsidRPr="00EC0D59">
        <w:t>needs</w:t>
      </w:r>
      <w:proofErr w:type="gramEnd"/>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D8AC48D" w14:textId="5EAB8065" w:rsidR="00EC0D59" w:rsidRDefault="00523028" w:rsidP="004B3D73">
      <w:r>
        <w:t xml:space="preserve">General </w:t>
      </w:r>
      <w:proofErr w:type="gramStart"/>
      <w:r w:rsidR="00BC0822">
        <w:t>Bachelor’s Degree</w:t>
      </w:r>
      <w:proofErr w:type="gramEnd"/>
      <w:r w:rsidR="00BC0822">
        <w:t xml:space="preserve"> (</w:t>
      </w:r>
      <w:r w:rsidR="00171344">
        <w:t>3</w:t>
      </w:r>
      <w:r w:rsidR="00BC0822">
        <w:t xml:space="preserve"> year) required</w:t>
      </w:r>
      <w:r w:rsidR="00077985">
        <w:t>.</w:t>
      </w:r>
      <w:r w:rsidR="00EC0D59">
        <w:br/>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77777777"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p>
    <w:p w14:paraId="64DB7540" w14:textId="77777777"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469921B"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r w:rsidR="00EC0D59">
        <w:br/>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lastRenderedPageBreak/>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lastRenderedPageBreak/>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lastRenderedPageBreak/>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CA51" w14:textId="77777777" w:rsidR="00FB2F2B" w:rsidRDefault="00FB2F2B" w:rsidP="00937CA4">
      <w:pPr>
        <w:spacing w:after="0" w:line="240" w:lineRule="auto"/>
      </w:pPr>
      <w:r>
        <w:separator/>
      </w:r>
    </w:p>
  </w:endnote>
  <w:endnote w:type="continuationSeparator" w:id="0">
    <w:p w14:paraId="00DC34C1" w14:textId="77777777" w:rsidR="00FB2F2B" w:rsidRDefault="00FB2F2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F62EE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ED2193">
              <w:rPr>
                <w:rFonts w:cs="Arial"/>
                <w:i/>
                <w:iCs/>
                <w:color w:val="808080" w:themeColor="background1" w:themeShade="80"/>
                <w:sz w:val="18"/>
                <w:szCs w:val="18"/>
              </w:rPr>
              <w:t xml:space="preserve"> </w:t>
            </w:r>
            <w:r w:rsidR="00ED2193" w:rsidRPr="00ED2193">
              <w:rPr>
                <w:rFonts w:cs="Arial"/>
                <w:bCs/>
                <w:i/>
                <w:iCs/>
                <w:color w:val="808080" w:themeColor="background1" w:themeShade="80"/>
                <w:sz w:val="18"/>
                <w:szCs w:val="18"/>
              </w:rPr>
              <w:t>SO-290 | VIP: 1216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D2193">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D2193">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D2193">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6508" w14:textId="77777777" w:rsidR="00FB2F2B" w:rsidRDefault="00FB2F2B" w:rsidP="00937CA4">
      <w:pPr>
        <w:spacing w:after="0" w:line="240" w:lineRule="auto"/>
      </w:pPr>
      <w:r>
        <w:separator/>
      </w:r>
    </w:p>
  </w:footnote>
  <w:footnote w:type="continuationSeparator" w:id="0">
    <w:p w14:paraId="3B87AD33" w14:textId="77777777" w:rsidR="00FB2F2B" w:rsidRDefault="00FB2F2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21E" w14:textId="3E991889" w:rsidR="00ED2193" w:rsidRDefault="00ED2193">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74CE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5070404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025249210">
    <w:abstractNumId w:val="17"/>
  </w:num>
  <w:num w:numId="3" w16cid:durableId="95290885">
    <w:abstractNumId w:val="25"/>
  </w:num>
  <w:num w:numId="4" w16cid:durableId="1855607570">
    <w:abstractNumId w:val="21"/>
  </w:num>
  <w:num w:numId="5" w16cid:durableId="1151826412">
    <w:abstractNumId w:val="13"/>
  </w:num>
  <w:num w:numId="6" w16cid:durableId="564948056">
    <w:abstractNumId w:val="32"/>
  </w:num>
  <w:num w:numId="7" w16cid:durableId="1429697358">
    <w:abstractNumId w:val="3"/>
  </w:num>
  <w:num w:numId="8" w16cid:durableId="1962345696">
    <w:abstractNumId w:val="9"/>
  </w:num>
  <w:num w:numId="9" w16cid:durableId="683675454">
    <w:abstractNumId w:val="27"/>
  </w:num>
  <w:num w:numId="10" w16cid:durableId="1749884194">
    <w:abstractNumId w:val="19"/>
  </w:num>
  <w:num w:numId="11" w16cid:durableId="1779368674">
    <w:abstractNumId w:val="18"/>
  </w:num>
  <w:num w:numId="12" w16cid:durableId="437793607">
    <w:abstractNumId w:val="10"/>
  </w:num>
  <w:num w:numId="13" w16cid:durableId="1327056326">
    <w:abstractNumId w:val="1"/>
  </w:num>
  <w:num w:numId="14" w16cid:durableId="238442866">
    <w:abstractNumId w:val="2"/>
  </w:num>
  <w:num w:numId="15" w16cid:durableId="1199775683">
    <w:abstractNumId w:val="6"/>
  </w:num>
  <w:num w:numId="16" w16cid:durableId="1887570496">
    <w:abstractNumId w:val="20"/>
  </w:num>
  <w:num w:numId="17" w16cid:durableId="1952475347">
    <w:abstractNumId w:val="5"/>
  </w:num>
  <w:num w:numId="18" w16cid:durableId="1793479955">
    <w:abstractNumId w:val="24"/>
  </w:num>
  <w:num w:numId="19" w16cid:durableId="1836218697">
    <w:abstractNumId w:val="8"/>
  </w:num>
  <w:num w:numId="20" w16cid:durableId="2135979296">
    <w:abstractNumId w:val="26"/>
  </w:num>
  <w:num w:numId="21" w16cid:durableId="1918324272">
    <w:abstractNumId w:val="15"/>
  </w:num>
  <w:num w:numId="22" w16cid:durableId="2096126675">
    <w:abstractNumId w:val="23"/>
  </w:num>
  <w:num w:numId="23" w16cid:durableId="455831854">
    <w:abstractNumId w:val="16"/>
  </w:num>
  <w:num w:numId="24" w16cid:durableId="635574228">
    <w:abstractNumId w:val="22"/>
  </w:num>
  <w:num w:numId="25" w16cid:durableId="1527018389">
    <w:abstractNumId w:val="4"/>
  </w:num>
  <w:num w:numId="26" w16cid:durableId="1937009971">
    <w:abstractNumId w:val="11"/>
  </w:num>
  <w:num w:numId="27" w16cid:durableId="1327199028">
    <w:abstractNumId w:val="29"/>
  </w:num>
  <w:num w:numId="28" w16cid:durableId="1919244790">
    <w:abstractNumId w:val="7"/>
  </w:num>
  <w:num w:numId="29" w16cid:durableId="398673">
    <w:abstractNumId w:val="14"/>
  </w:num>
  <w:num w:numId="30" w16cid:durableId="623926732">
    <w:abstractNumId w:val="31"/>
  </w:num>
  <w:num w:numId="31" w16cid:durableId="652829923">
    <w:abstractNumId w:val="12"/>
  </w:num>
  <w:num w:numId="32" w16cid:durableId="597714102">
    <w:abstractNumId w:val="30"/>
  </w:num>
  <w:num w:numId="33" w16cid:durableId="117965501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41DDC"/>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5356F"/>
    <w:rsid w:val="00961622"/>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3FCF"/>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C0D59"/>
    <w:rsid w:val="00ED2193"/>
    <w:rsid w:val="00ED4829"/>
    <w:rsid w:val="00EE1EA3"/>
    <w:rsid w:val="00F01190"/>
    <w:rsid w:val="00F14BB8"/>
    <w:rsid w:val="00F370F9"/>
    <w:rsid w:val="00F4474C"/>
    <w:rsid w:val="00F457DC"/>
    <w:rsid w:val="00F657BD"/>
    <w:rsid w:val="00FA63D6"/>
    <w:rsid w:val="00FA70D4"/>
    <w:rsid w:val="00FB2F2B"/>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6523-1B7F-4CB3-BAF9-290494C8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2021-08-25T19:15:00Z</dcterms:created>
  <dcterms:modified xsi:type="dcterms:W3CDTF">2023-04-17T15:07:00Z</dcterms:modified>
</cp:coreProperties>
</file>